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Настоящий доклад о системе обеспечения антимонопольных требований в МКУ «Администрация Новоюгинского сельского поселения» за 2022 год подготовлен в соответствии с Постановлением МКУ «Администрация Новоюгинского сельского поселения» от 21.05.2021 №17 «О системе внутреннего обеспечения соответствия требованиям антимонопольного законодательства (антимонопольном комплаенсе) в администрации Новоюгинского сельского поселения Каргасокского района Томской области», которым утверждено Положение об организации системы внутреннего обеспечения соответствия требованиям антимонопольного законодательства (антимонопольный комплаенс) в Муниципальном казенном учреждении «Администрация Новоюгинского сельского поселения» Каргасокского района Томской области (далее – Положение), и содержит информацию: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а) о результатах проведенной оценки рисков нарушения антимонопольного законодательства;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б) об исполнении мероприятий по снижению рисков нарушения антимонопольного законодательства;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в) о достижении ключевых показателей эффективности системы обеспечения антимонопольных требований.</w:t>
      </w:r>
    </w:p>
    <w:p w:rsidR="00B5493A" w:rsidRPr="00B5493A" w:rsidRDefault="00B5493A" w:rsidP="00B54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Результаты проведенной оценки рисков нарушений антимонопольного законодательства.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Нарушений антимонопольного законодательства в деятельности МКУ «Администрация Новоюгинского сельского поселения» за 2022 год органами Федеральной антимонопольной службы выявлено не было: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а) отсутствие выданных МКУ «Администрация Новоюгинского сельского поселения» и должностным лицам МКУ «Администрация Новоюгинского сельского поселения» предупреждений антимонопольных органов;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б) отсутствие возбужденных дел о нарушении МКУ «Администрация Новоюгинского сельского поселения», должностными лицами МКУ «Администрация Новоюгинского сельского поселения» антимонопольного законодательства;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в) отсутствие фактов привлечения МКУ «Администрация Новоюгинского сельского поселения», должностных лиц МКУ «Администрация Новоюгинского сельского поселения»  к административной ответственности за нарушение антимонопольного законодательства.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Нормативные правовые акты размещались в установленном порядке на сайте муниципального образования «Новоюгинского сельское поселение» в сети «Интернет».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По результатам анализа законов Российской Федерации, нормативных правовых актов Томской области, признаков нарушения антимонопольного законодательства в нормативных правовых актах МКУ «Администрация Новоюгинского сельского поселения» не выявлено.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С учетом всех показателей, установленных Положением, риски нарушения антимонопольного законодательства не выявлены.</w:t>
      </w:r>
    </w:p>
    <w:p w:rsidR="00B5493A" w:rsidRPr="00B5493A" w:rsidRDefault="00B5493A" w:rsidP="00B549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Исполнение мероприятий по снижению рисков нарушения антимонопольного законодательства.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Осуществляется консультирование муниципальных служащих МКУ «Администрация Новоюгинского сельского поселения» по вопросам, связанным с соблюдением антимонопольного законодательства.</w:t>
      </w:r>
    </w:p>
    <w:p w:rsidR="00B5493A" w:rsidRPr="00B5493A" w:rsidRDefault="00B5493A" w:rsidP="00B549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Достижения ключевых показателей эффективности системы обеспечения антимонопольных требований: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– отсутствие выданных МКУ «Администрация Новоюгинского сельского поселения»  и должностными лицам МКУ «Администрация Новоюгинского сельского поселения» предупреждений антимонопольных органов;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lastRenderedPageBreak/>
        <w:t>– отсутствие возбужденных дел о нарушении МКУ «Администрация Новоюгинского сельского поселения», должностными лицами МКУ «Администрация Новоюгинского сельского поселения»  антимонопольного законодательства;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– отсутствие фактов привлечения МКУ «Администрация Новоюгинского сельского поселения», должностных лиц МКУ «Администрация Новоюгинского сельского поселения»  к административной ответственности за нарушение антимонопольного законодательства;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– отсутствие правонарушений в области антимонопольного законодательства, совершенных должностными лицами МКУ «Администрация Новоюгинского сельского поселения».</w:t>
      </w:r>
    </w:p>
    <w:p w:rsidR="00B5493A" w:rsidRPr="00B5493A" w:rsidRDefault="00B5493A" w:rsidP="00B5493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5493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Глава Новоюгинского сельского поселения                                                     В.В .Штрак</w:t>
      </w:r>
    </w:p>
    <w:p w:rsidR="00B5493A" w:rsidRDefault="00B5493A">
      <w:bookmarkStart w:id="0" w:name="_GoBack"/>
      <w:bookmarkEnd w:id="0"/>
    </w:p>
    <w:sectPr w:rsidR="00B5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1793F"/>
    <w:multiLevelType w:val="multilevel"/>
    <w:tmpl w:val="6DE0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0015E"/>
    <w:multiLevelType w:val="multilevel"/>
    <w:tmpl w:val="451A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072FE"/>
    <w:multiLevelType w:val="multilevel"/>
    <w:tmpl w:val="9AC2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3A"/>
    <w:rsid w:val="00B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FC79E-F8DA-42C1-8738-1D25FE36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2024-05-01T07:04:00Z</dcterms:created>
  <dcterms:modified xsi:type="dcterms:W3CDTF">2024-05-01T07:04:00Z</dcterms:modified>
</cp:coreProperties>
</file>