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Решением Совета Новоюгинского сельского поселения от 05.12.2022 года № 11 «Об объявлении конкурса по отбору кандидатур на должность Главы Новоюгинского сельского поселения» назначен конкурс по отбору кандидатур на должность Главы Новоюгинского сельского поселения (далее – конкурс).</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Дата проведения конкурса: 24.01.2023 года.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Время проведения конкурса: 15.00 часов.</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Место проведения конкурса: 636714, Российская Федерация, Томская область, Каргасокский район, с. Новоюгино, ул. Центральная, 44/2, кабинет 2.</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Документы для участия в конкурсе по отбору кандидатур на должность Главы Новоюгинского сельского поселения принимаются с 12.12.2022 года по 10.01.2023 года по адресу: : 636714, Российская Федерация, Томская область, Каргасокский район, с. Новоюгино, ул. Центральная, 44/2, кабинет 2.</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График приема документов для участия в конкурсе: с понедельника по пятницу с 9.00 до 13.00 часов и с 14.00 до 17.00 часов.</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Телефон для справок (8-38253) 37-132.</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b/>
          <w:bCs/>
          <w:color w:val="555555"/>
          <w:sz w:val="21"/>
          <w:szCs w:val="21"/>
          <w:lang w:eastAsia="ru-RU"/>
        </w:rPr>
        <w:t>Условия конкурса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Право принять участие в конкурсе имеют граждане, достигшие возраста 21 года, которые на день проведения конкурса не имеют в соответствии с Федеральным </w:t>
      </w:r>
      <w:hyperlink r:id="rId5" w:history="1">
        <w:r w:rsidRPr="008D6D18">
          <w:rPr>
            <w:rFonts w:ascii="Roboto" w:eastAsia="Times New Roman" w:hAnsi="Roboto" w:cs="Times New Roman"/>
            <w:color w:val="2FA4E7"/>
            <w:sz w:val="21"/>
            <w:szCs w:val="21"/>
            <w:u w:val="single"/>
            <w:lang w:eastAsia="ru-RU"/>
          </w:rPr>
          <w:t>законом</w:t>
        </w:r>
      </w:hyperlink>
      <w:r w:rsidRPr="008D6D18">
        <w:rPr>
          <w:rFonts w:ascii="Roboto" w:eastAsia="Times New Roman" w:hAnsi="Roboto" w:cs="Times New Roman"/>
          <w:color w:val="555555"/>
          <w:sz w:val="21"/>
          <w:szCs w:val="21"/>
          <w:lang w:eastAsia="ru-RU"/>
        </w:rPr>
        <w:t>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Если срок действия вышеуказанных ограничений истекает до дня проведения конкурса, гражданин вправе подать документы для участия в конкурсе.</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Кандидат на должность Главы Новоюгинского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Новоюгинского сельского поселения полномочий по решению вопросов местного значения:</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 наличие высшего или среднего профессионального образования;</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2 лет.</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b/>
          <w:bCs/>
          <w:color w:val="555555"/>
          <w:sz w:val="21"/>
          <w:szCs w:val="21"/>
          <w:lang w:eastAsia="ru-RU"/>
        </w:rPr>
        <w:t>Гражданин Российской Федерации, изъявивший желание участвовать в конкурсе, представляет в конкурсную комиссию:</w:t>
      </w:r>
    </w:p>
    <w:p w:rsidR="008D6D18" w:rsidRPr="008D6D18" w:rsidRDefault="008D6D18" w:rsidP="008D6D18">
      <w:pPr>
        <w:numPr>
          <w:ilvl w:val="0"/>
          <w:numId w:val="1"/>
        </w:numPr>
        <w:shd w:val="clear" w:color="auto" w:fill="FFFFFF"/>
        <w:spacing w:before="100" w:beforeAutospacing="1" w:after="100" w:afterAutospacing="1"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Собственноручно подписанное </w:t>
      </w:r>
      <w:hyperlink r:id="rId6" w:history="1">
        <w:r w:rsidRPr="008D6D18">
          <w:rPr>
            <w:rFonts w:ascii="Roboto" w:eastAsia="Times New Roman" w:hAnsi="Roboto" w:cs="Times New Roman"/>
            <w:color w:val="2FA4E7"/>
            <w:sz w:val="21"/>
            <w:szCs w:val="21"/>
            <w:u w:val="single"/>
            <w:lang w:eastAsia="ru-RU"/>
          </w:rPr>
          <w:t>заявление</w:t>
        </w:r>
      </w:hyperlink>
      <w:r w:rsidRPr="008D6D18">
        <w:rPr>
          <w:rFonts w:ascii="Roboto" w:eastAsia="Times New Roman" w:hAnsi="Roboto" w:cs="Times New Roman"/>
          <w:color w:val="555555"/>
          <w:sz w:val="21"/>
          <w:szCs w:val="21"/>
          <w:lang w:eastAsia="ru-RU"/>
        </w:rPr>
        <w:t>, в котором содержатся:</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фамилия, имя, отчество (при наличии) гражданина;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дата и место рождения гражданина;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адрес места жительства гражданина, адрес места регистрации (в случае если он не совпадает с адресом места жительства);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lastRenderedPageBreak/>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идентификационный номер налогоплательщика (при наличии),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сведения об основном месте работы или службы, занимаемой должности (в случае отсутствия основного места работы или службы –  роде занятий);</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цель подачи заявления;</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указание на то,  что  гражданин  дееспособен;</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согласие с условиями конкурса;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сведения о судимости, если у гражданина имелась или имеется судимость;</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указание на отсутствие  возражений  против проведения проверки документов и сведений, представляемых  гражданином в  конкурсную комиссию;</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обязательство  в  случае  избрания на должность Главы Новоюгинского сельского поселения прекратить  деятельность, несовместимую со статусом Главы муниципального   образования;</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перечень прилагаемых к заявлению документов с указанием количества листов и экземпляров;</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дополнительная информация по желанию гражданина;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2) две фотографии размером 4 x 6 см;</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3) собственноручно заполненную и подписанную </w:t>
      </w:r>
      <w:hyperlink r:id="rId7" w:history="1">
        <w:r w:rsidRPr="008D6D18">
          <w:rPr>
            <w:rFonts w:ascii="Roboto" w:eastAsia="Times New Roman" w:hAnsi="Roboto" w:cs="Times New Roman"/>
            <w:color w:val="2FA4E7"/>
            <w:sz w:val="21"/>
            <w:szCs w:val="21"/>
            <w:u w:val="single"/>
            <w:lang w:eastAsia="ru-RU"/>
          </w:rPr>
          <w:t>анкет</w:t>
        </w:r>
      </w:hyperlink>
      <w:r w:rsidRPr="008D6D18">
        <w:rPr>
          <w:rFonts w:ascii="Roboto" w:eastAsia="Times New Roman" w:hAnsi="Roboto" w:cs="Times New Roman"/>
          <w:color w:val="555555"/>
          <w:sz w:val="21"/>
          <w:szCs w:val="21"/>
          <w:lang w:eastAsia="ru-RU"/>
        </w:rPr>
        <w:t>у по форме, согласно приложению к Положению;</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4) копию паспорта или документа, заменяющего паспорт гражданина;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5) программу кандидата по развитию Новоюгинского сельского поселения на ближайшие 5 лет  объемом до 2 страниц машинописного текста с интервалом 0,1, содержащую информацию об оценке текущего социально-экономического состояния Новоюгинского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Новоюгинского сельского поселения на ближайшие 5 лет;</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8) копии документов, подтверждающих сведения об образовании;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lastRenderedPageBreak/>
        <w:t>9) если кандидат менял фамилию, имя или отчество, – копии соответствующих документов;</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12) согласие на обработку персональных данных;</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Новоюгинского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Новоюгинского сельского поселения (на отчетную дату);</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Новоюгинского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Киндальского поселения (на отчетную дату).</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lastRenderedPageBreak/>
        <w:t>16) доверенность представителя в случае подачи заявления и документов для участия в конкурсе через представителя;</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Указанные документы кандидат представляет в конкурсную комиссию в срок, указанный в решении Совета Новоюгинского сельского поселения об объявлении конкурса (с 17.10.2022 года по 15.11.2022 года), лично или через представителя, чьи полномочия удостоверены в установленном законом порядке.</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Копии документов предоставляются одновременно с их оригиналами.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удостоверены в установленном законом порядке.</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 </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Секретарь конкурсной комиссии, принимая документы, в присутствии кандидата или его представителя:</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1) сверяет наличие документов, приложенных к заявлению, с их перечнем, указанным в заявлении;</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2) проверяет соответствие копий документов их оригиналам и заверяет их;</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3) при необходимости снимает копии документов;</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4) возвращает кандидату или его представителю подлинники указанных документов;</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5) выдает кандидату или его представителю расписку в приеме документов с отметкой о дате и времени приема документов.</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Принятые заявления кандидатов регистрируются в журнале регистрации документов. Все документы, поданные кандидатом, формируются в дело. Заявления кандидатов и приложенные к ним документы (копии документов), журнал регистрации документов хранятся в Совете Новоюгинского сельского поселения с соблюдением требований по хранению персональных данных.</w:t>
      </w:r>
    </w:p>
    <w:p w:rsidR="008D6D18" w:rsidRPr="008D6D18" w:rsidRDefault="008D6D18" w:rsidP="008D6D18">
      <w:pPr>
        <w:shd w:val="clear" w:color="auto" w:fill="FFFFFF"/>
        <w:spacing w:after="150" w:line="240" w:lineRule="auto"/>
        <w:rPr>
          <w:rFonts w:ascii="Roboto" w:eastAsia="Times New Roman" w:hAnsi="Roboto" w:cs="Times New Roman"/>
          <w:color w:val="555555"/>
          <w:sz w:val="21"/>
          <w:szCs w:val="21"/>
          <w:lang w:eastAsia="ru-RU"/>
        </w:rPr>
      </w:pPr>
      <w:r w:rsidRPr="008D6D18">
        <w:rPr>
          <w:rFonts w:ascii="Roboto" w:eastAsia="Times New Roman" w:hAnsi="Roboto" w:cs="Times New Roman"/>
          <w:color w:val="555555"/>
          <w:sz w:val="21"/>
          <w:szCs w:val="21"/>
          <w:lang w:eastAsia="ru-RU"/>
        </w:rPr>
        <w:t>В рамках установления обстоятельств, препятствующих замещению кандидатом должности Главы Новоюгинского сельского поселения, сведения и документы, представленные кандидатом, проверяются в соответствии с действующим законодательством.</w:t>
      </w:r>
    </w:p>
    <w:p w:rsidR="008D6D18" w:rsidRDefault="008D6D18">
      <w:bookmarkStart w:id="0" w:name="_GoBack"/>
      <w:bookmarkEnd w:id="0"/>
    </w:p>
    <w:sectPr w:rsidR="008D6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630D4"/>
    <w:multiLevelType w:val="multilevel"/>
    <w:tmpl w:val="D7BE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18"/>
    <w:rsid w:val="008D6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9CF56-FFDF-4F48-A3A0-014EDCD7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6D18"/>
    <w:rPr>
      <w:b/>
      <w:bCs/>
    </w:rPr>
  </w:style>
  <w:style w:type="character" w:styleId="a5">
    <w:name w:val="Hyperlink"/>
    <w:basedOn w:val="a0"/>
    <w:uiPriority w:val="99"/>
    <w:semiHidden/>
    <w:unhideWhenUsed/>
    <w:rsid w:val="008D6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2000</Words>
  <Characters>11406</Characters>
  <Application>Microsoft Office Word</Application>
  <DocSecurity>0</DocSecurity>
  <Lines>95</Lines>
  <Paragraphs>26</Paragraphs>
  <ScaleCrop>false</ScaleCrop>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2024-05-01T07:57:00Z</dcterms:created>
  <dcterms:modified xsi:type="dcterms:W3CDTF">2024-05-01T07:58:00Z</dcterms:modified>
</cp:coreProperties>
</file>